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9B" w:rsidRPr="00EA0E9B" w:rsidRDefault="00EA0E9B" w:rsidP="00EA0E9B">
      <w:pPr>
        <w:shd w:val="clear" w:color="auto" w:fill="FFFFFF"/>
        <w:spacing w:before="135" w:after="225" w:line="405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Nghị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367/2025/NĐ-CP: "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Cú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hích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"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chuyển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đổi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số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tinh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gọn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bộ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máy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công</w:t>
      </w:r>
      <w:proofErr w:type="spellEnd"/>
    </w:p>
    <w:p w:rsidR="00EA0E9B" w:rsidRPr="00EA0E9B" w:rsidRDefault="00EA0E9B" w:rsidP="00EA0E9B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888888"/>
          <w:sz w:val="24"/>
          <w:szCs w:val="24"/>
        </w:rPr>
      </w:pPr>
      <w:r w:rsidRPr="00EA0E9B">
        <w:rPr>
          <w:rFonts w:ascii="Arial" w:eastAsia="Times New Roman" w:hAnsi="Arial" w:cs="Arial"/>
          <w:color w:val="888888"/>
          <w:sz w:val="24"/>
          <w:szCs w:val="24"/>
        </w:rPr>
        <w:t> </w:t>
      </w:r>
    </w:p>
    <w:p w:rsidR="00EA0E9B" w:rsidRPr="00EA0E9B" w:rsidRDefault="00EA0E9B" w:rsidP="00EA0E9B">
      <w:pPr>
        <w:shd w:val="clear" w:color="auto" w:fill="FFFFFF"/>
        <w:spacing w:after="100" w:afterAutospacing="1" w:line="270" w:lineRule="atLeast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Việc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Chính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phủ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ban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hành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định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367/2025/NĐ-CP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vào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ngày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cuối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cùng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của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năm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2025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đã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gửi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một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thông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điệp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mạnh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mẽ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về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quyết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tâm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cải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cách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thủ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tục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hành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chính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(TTHC).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Với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những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sửa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đổi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mang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tính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thực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tiễn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cao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định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này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không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chỉ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đơn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giản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hóa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quy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trình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mà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còn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thay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đổi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căn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bản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cách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thức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vận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hành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của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Bộ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phận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Một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cửa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tại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các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cấp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chính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quyền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</w:p>
    <w:p w:rsidR="00EA0E9B" w:rsidRPr="00EA0E9B" w:rsidRDefault="00576A97" w:rsidP="00576A97">
      <w:pPr>
        <w:shd w:val="clear" w:color="auto" w:fill="FFFFFF"/>
        <w:spacing w:after="165" w:line="27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inline distT="0" distB="0" distL="0" distR="0">
            <wp:extent cx="5865270" cy="4467225"/>
            <wp:effectExtent l="0" t="0" r="2540" b="0"/>
            <wp:docPr id="9" name="Picture 9" descr="D:\Desktop\ảnh h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ảnh hc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446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Người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tới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tại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>tâm</w:t>
      </w:r>
      <w:proofErr w:type="spellEnd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="00EA0E9B" w:rsidRPr="00EA0E9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EF570B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="00EF570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EF570B">
        <w:rPr>
          <w:rFonts w:ascii="Arial" w:eastAsia="Times New Roman" w:hAnsi="Arial" w:cs="Arial"/>
          <w:color w:val="333333"/>
          <w:sz w:val="24"/>
          <w:szCs w:val="24"/>
        </w:rPr>
        <w:t>Đức</w:t>
      </w:r>
      <w:proofErr w:type="spellEnd"/>
      <w:r w:rsidR="00EF570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EF570B">
        <w:rPr>
          <w:rFonts w:ascii="Arial" w:eastAsia="Times New Roman" w:hAnsi="Arial" w:cs="Arial"/>
          <w:color w:val="333333"/>
          <w:sz w:val="24"/>
          <w:szCs w:val="24"/>
        </w:rPr>
        <w:t>Quang</w:t>
      </w:r>
      <w:proofErr w:type="spellEnd"/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Bước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tiến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mới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trong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tổ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chức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Bộ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phận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Một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cửa</w:t>
      </w:r>
      <w:proofErr w:type="spellEnd"/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Điểm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mới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nổi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bật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nhận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được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nhiều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quan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tâm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nhất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Nghị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367/2025/NĐ-CP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thay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đổi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trong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trúc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tổ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chức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tại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sở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Nghị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đã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thức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 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bỏ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Phó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Chủ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tịch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UBND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xã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kiêm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nhiệm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Giám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đốc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Trung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tâm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Phục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vụ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Trước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đây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kiêm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nhiệm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thường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gây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ra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tình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trạng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lãnh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đạo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xã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dẫn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đến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giám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sát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tiếp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hoạt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động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tại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Bộ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phận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Một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cửa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đôi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khi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chưa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sát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sao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.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Bằng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tách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biệt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vai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trò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quản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lý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nước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lãnh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đạo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xã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với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nhiệm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vụ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điều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tác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nghiệp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Nghị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giúp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chuyên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môn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hóa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đội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ngũ</w:t>
      </w:r>
      <w:proofErr w:type="spellEnd"/>
      <w:proofErr w:type="gram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.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Điều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này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đảm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bảo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bộ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tại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Bộ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phận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lastRenderedPageBreak/>
        <w:t>Một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cửa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thể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tập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trung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toàn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gian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hỗ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trợ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đồng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giúp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lãnh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đạo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phương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thêm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gian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tác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quản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lý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vĩ</w:t>
      </w:r>
      <w:proofErr w:type="spellEnd"/>
      <w:proofErr w:type="gram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mô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Ngoài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ra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đối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với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tỉnh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Nghị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367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lãnh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đạo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Trung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tâm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Phục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vụ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sẽ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gồm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01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Giám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đốc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(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tương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đương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Phó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Chánh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Văn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phòng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UBND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tỉnh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)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tối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03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Phó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Giám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đốc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.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Điều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này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giúp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kiện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toàn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bộ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máy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lãnh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đạo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đảm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bảo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thống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nhất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chuyên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nghiệp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trong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điều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vụ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cao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Ứng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dụng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VNeID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: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Xóa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bỏ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rào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cản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giấy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tờ</w:t>
      </w:r>
      <w:proofErr w:type="spellEnd"/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Nghị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367/2025/NĐ-CP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đánh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dấu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một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cột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mốc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quan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trọng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trong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hiện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hóa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Đề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án</w:t>
      </w:r>
      <w:proofErr w:type="spellEnd"/>
      <w:proofErr w:type="gram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06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bằng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bổ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sung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phương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thức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 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hiện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TTHC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tuyến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hoàn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toàn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qua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ứng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dụng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danh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quốc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VNeID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Theo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mới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từ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đầu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năm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2026,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thể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nộp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hồ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theo</w:t>
      </w:r>
      <w:proofErr w:type="spellEnd"/>
      <w:proofErr w:type="gram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dõi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tiến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độ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nhận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kết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quả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quyết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TTHC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tiếp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trên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điện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thoại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minh.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tin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đã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được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số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hóa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trong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sở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dữ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liệu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quốc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về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cư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sẽ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động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được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trích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xuất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không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còn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kê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khai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lại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hoặc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nộp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bản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sao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giấy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tờ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tùy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như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trước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đây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Đây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một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bước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đột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giúp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giảm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thiểu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tối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chi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phí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tuân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thủ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TTHC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tạo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điều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kiện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thuận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nhất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những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ở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vùng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sâu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vùng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xa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hoặc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bận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rộn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Quyền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hạn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mới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của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Hội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đồng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nhân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dân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trong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thành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lập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Trung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tâm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chính</w:t>
      </w:r>
      <w:proofErr w:type="spellEnd"/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Một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điểm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mới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đáng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chú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ý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khác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về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mặt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quyền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hạn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thay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đổi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trình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lập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Trung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tâm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Phục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vụ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tại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phố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thuộc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Trung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ương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Thay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vì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UBND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quyết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Nghị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367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yêu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cầu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 UBND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trình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HĐNĐ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cùng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quyết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lập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điều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chỉnh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này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nhằm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tăng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cường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vai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trò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giám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sát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quan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quyền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nước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ở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phương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đối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với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tổ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chức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đơn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vị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.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HĐND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tham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quyết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lập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đảm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bảo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rằng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ra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trung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tâm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này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gắn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liền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với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sách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nguồn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tế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cầu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thiết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cử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tri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tại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phương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tránh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lập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hình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thức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hoặc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lãng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phí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nguồn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Số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hóa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kết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quả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nâng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cao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tính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khai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, minh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bạch</w:t>
      </w:r>
      <w:proofErr w:type="spellEnd"/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Nghị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367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cũng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nhấn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mạnh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nâng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cao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chất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lượng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vụ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qua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chế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giám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sát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điện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tử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.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Toàn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bộ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trình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tiếp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nhận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luân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chuyển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quyết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hồ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được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cập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nhật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gian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trên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Hệ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thống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tin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quyết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TTHC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bộ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tỉnh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tích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hợp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với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Cổng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vụ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quốc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rõ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trách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nhiệm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từng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đơn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vị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trong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từng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khâu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xử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lý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giúp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loại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bỏ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tình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trạng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"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ngâm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"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hồ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sơ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không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rõ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lý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do.</w:t>
      </w:r>
      <w:proofErr w:type="gram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Nếu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chậm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trễ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hệ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thống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sẽ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động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cảnh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báo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yêu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cầu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trình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minh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bạch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Điều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này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không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lastRenderedPageBreak/>
        <w:t>chỉ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giúp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yên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tâm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hơn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còn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tạo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áp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tích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để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bộ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chức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nâng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cao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tinh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thần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trách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nhiệm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trong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vụ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Kỳ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vọng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về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một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nền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hiện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đại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>năm</w:t>
      </w:r>
      <w:proofErr w:type="spellEnd"/>
      <w:r w:rsidRPr="00EA0E9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2026</w:t>
      </w:r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Với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Nghị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367/2025/NĐ-CP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hiệu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ngay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từ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điểm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ban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năm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2026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được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báo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sẽ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năm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"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không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giấy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tờ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"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tại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Việt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Nam.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kết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hợp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giữa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bộ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máy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tinh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gọn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nghệ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danh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hiện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đại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sẽ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nền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tảng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vững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chắc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để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xây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dựng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một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phủ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số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thụ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</w:p>
    <w:p w:rsidR="00EA0E9B" w:rsidRPr="00EA0E9B" w:rsidRDefault="00EA0E9B" w:rsidP="00EA0E9B">
      <w:pPr>
        <w:shd w:val="clear" w:color="auto" w:fill="FFFFFF"/>
        <w:spacing w:after="19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thể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khẳng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Nghị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367/2025/NĐ-CP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một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bước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mang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chiến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lược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quyết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đúng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những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"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điểm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nghẽn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"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về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sự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nghệ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trong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cách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hành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. </w:t>
      </w:r>
      <w:proofErr w:type="spellStart"/>
      <w:proofErr w:type="gram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doanh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nghiệp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giờ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đây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quyền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kỳ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vọng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một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trải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nghiệm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vụ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công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nhanh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chóng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, minh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bạch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thuận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tiện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hơn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bao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giờ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EA0E9B">
        <w:rPr>
          <w:rFonts w:ascii="Arial" w:eastAsia="Times New Roman" w:hAnsi="Arial" w:cs="Arial"/>
          <w:color w:val="333333"/>
          <w:sz w:val="27"/>
          <w:szCs w:val="27"/>
        </w:rPr>
        <w:t>hết</w:t>
      </w:r>
      <w:proofErr w:type="spellEnd"/>
      <w:r w:rsidRPr="00EA0E9B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</w:p>
    <w:p w:rsidR="009630FA" w:rsidRDefault="009630FA"/>
    <w:sectPr w:rsidR="009630FA" w:rsidSect="00576A97">
      <w:pgSz w:w="11907" w:h="16840" w:code="9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9B"/>
    <w:rsid w:val="00576A97"/>
    <w:rsid w:val="009630FA"/>
    <w:rsid w:val="009E77B5"/>
    <w:rsid w:val="00EA0E9B"/>
    <w:rsid w:val="00E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1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Cong</dc:creator>
  <cp:lastModifiedBy>Thanh Cong</cp:lastModifiedBy>
  <cp:revision>4</cp:revision>
  <dcterms:created xsi:type="dcterms:W3CDTF">2026-01-22T03:05:00Z</dcterms:created>
  <dcterms:modified xsi:type="dcterms:W3CDTF">2026-01-22T03:19:00Z</dcterms:modified>
</cp:coreProperties>
</file>